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339A5A">
      <w:pPr>
        <w:jc w:val="center"/>
        <w:rPr>
          <w:rFonts w:ascii="微软简标宋" w:hAnsi="宋体" w:eastAsia="微软简标宋"/>
          <w:color w:val="000000"/>
          <w:sz w:val="40"/>
        </w:rPr>
      </w:pPr>
      <w:r>
        <w:rPr>
          <w:rFonts w:hint="eastAsia" w:ascii="微软简标宋" w:hAnsi="宋体" w:eastAsia="微软简标宋"/>
          <w:color w:val="000000"/>
          <w:sz w:val="40"/>
        </w:rPr>
        <w:t>资产出租进场交易协议书</w:t>
      </w:r>
    </w:p>
    <w:p w14:paraId="087DD362">
      <w:pPr>
        <w:jc w:val="center"/>
        <w:rPr>
          <w:rFonts w:ascii="微软简标宋" w:hAnsi="宋体" w:eastAsia="微软简标宋"/>
          <w:color w:val="000000"/>
          <w:sz w:val="40"/>
        </w:rPr>
      </w:pPr>
      <w:r>
        <w:rPr>
          <w:rFonts w:hint="eastAsia" w:ascii="微软简标宋" w:hAnsi="宋体" w:eastAsia="微软简标宋"/>
          <w:color w:val="000000"/>
          <w:sz w:val="40"/>
        </w:rPr>
        <w:t>（出租方）</w:t>
      </w:r>
    </w:p>
    <w:p w14:paraId="581D1A02">
      <w:pPr>
        <w:ind w:firstLine="640" w:firstLineChars="200"/>
        <w:rPr>
          <w:rFonts w:hint="eastAsia" w:ascii="仿宋_GB2312" w:hAnsi="宋体" w:eastAsia="仿宋_GB2312"/>
          <w:color w:val="000000"/>
          <w:sz w:val="32"/>
          <w:lang w:eastAsia="zh-CN"/>
        </w:rPr>
      </w:pPr>
      <w:r>
        <w:rPr>
          <w:rFonts w:hint="eastAsia" w:ascii="仿宋_GB2312" w:hAnsi="宋体" w:eastAsia="仿宋_GB2312"/>
          <w:color w:val="000000"/>
          <w:sz w:val="32"/>
        </w:rPr>
        <w:t>甲方：济南野生动物世界有限公司</w:t>
      </w:r>
      <w:r>
        <w:rPr>
          <w:rFonts w:hint="eastAsia" w:ascii="仿宋_GB2312" w:hAnsi="宋体" w:eastAsia="仿宋_GB2312"/>
          <w:color w:val="000000"/>
          <w:sz w:val="32"/>
          <w:lang w:eastAsia="zh-CN"/>
        </w:rPr>
        <w:t xml:space="preserve">  </w:t>
      </w:r>
    </w:p>
    <w:p w14:paraId="75B8B5D7">
      <w:pPr>
        <w:ind w:firstLine="640" w:firstLineChars="200"/>
        <w:rPr>
          <w:rFonts w:ascii="仿宋_GB2312" w:hAnsi="宋体" w:eastAsia="仿宋_GB2312"/>
          <w:color w:val="000000"/>
          <w:sz w:val="32"/>
        </w:rPr>
      </w:pPr>
      <w:r>
        <w:rPr>
          <w:rFonts w:hint="eastAsia" w:ascii="仿宋_GB2312" w:hAnsi="宋体" w:eastAsia="仿宋_GB2312"/>
          <w:color w:val="000000"/>
          <w:sz w:val="32"/>
        </w:rPr>
        <w:t>乙方：济南产权交易服务有限公司</w:t>
      </w:r>
    </w:p>
    <w:p w14:paraId="31788222">
      <w:pPr>
        <w:ind w:firstLine="640" w:firstLineChars="200"/>
        <w:rPr>
          <w:rFonts w:ascii="仿宋_GB2312" w:hAnsi="宋体" w:eastAsia="仿宋_GB2312"/>
          <w:color w:val="000000" w:themeColor="text1"/>
          <w:sz w:val="32"/>
          <w14:textFill>
            <w14:solidFill>
              <w14:schemeClr w14:val="tx1"/>
            </w14:solidFill>
          </w14:textFill>
        </w:rPr>
      </w:pPr>
      <w:r>
        <w:rPr>
          <w:rFonts w:hint="eastAsia" w:ascii="仿宋_GB2312" w:hAnsi="宋体" w:eastAsia="仿宋_GB2312"/>
          <w:color w:val="000000"/>
          <w:sz w:val="32"/>
        </w:rPr>
        <w:t>鉴于：</w:t>
      </w:r>
    </w:p>
    <w:p w14:paraId="0F28DB18">
      <w:pPr>
        <w:ind w:firstLine="640" w:firstLineChars="200"/>
        <w:rPr>
          <w:rFonts w:ascii="仿宋_GB2312" w:hAnsi="宋体" w:eastAsia="仿宋_GB2312"/>
          <w:color w:val="000000" w:themeColor="text1"/>
          <w:sz w:val="32"/>
          <w14:textFill>
            <w14:solidFill>
              <w14:schemeClr w14:val="tx1"/>
            </w14:solidFill>
          </w14:textFill>
        </w:rPr>
      </w:pPr>
      <w:r>
        <w:rPr>
          <w:rFonts w:ascii="仿宋_GB2312" w:hAnsi="宋体" w:eastAsia="仿宋_GB2312"/>
          <w:color w:val="000000" w:themeColor="text1"/>
          <w:sz w:val="32"/>
          <w14:textFill>
            <w14:solidFill>
              <w14:schemeClr w14:val="tx1"/>
            </w14:solidFill>
          </w14:textFill>
        </w:rPr>
        <w:t>1.</w:t>
      </w:r>
      <w:r>
        <w:rPr>
          <w:rFonts w:hint="eastAsia" w:ascii="仿宋_GB2312" w:hAnsi="宋体" w:eastAsia="仿宋_GB2312"/>
          <w:color w:val="000000" w:themeColor="text1"/>
          <w:sz w:val="32"/>
          <w14:textFill>
            <w14:solidFill>
              <w14:schemeClr w14:val="tx1"/>
            </w14:solidFill>
          </w14:textFill>
        </w:rPr>
        <w:t>甲方为国有企业，其所持有的</w:t>
      </w:r>
      <w:r>
        <w:rPr>
          <w:rFonts w:hint="eastAsia" w:ascii="仿宋_GB2312" w:hAnsi="宋体" w:eastAsia="仿宋_GB2312"/>
          <w:color w:val="000000" w:themeColor="text1"/>
          <w:sz w:val="32"/>
          <w:u w:val="single"/>
          <w14:textFill>
            <w14:solidFill>
              <w14:schemeClr w14:val="tx1"/>
            </w14:solidFill>
          </w14:textFill>
        </w:rPr>
        <w:t>济南野生动物世界自驾游部分土地1年使用权</w:t>
      </w:r>
      <w:r>
        <w:rPr>
          <w:rFonts w:hint="eastAsia" w:ascii="仿宋_GB2312" w:hAnsi="宋体" w:eastAsia="仿宋_GB2312"/>
          <w:color w:val="000000" w:themeColor="text1"/>
          <w:sz w:val="32"/>
          <w14:textFill>
            <w14:solidFill>
              <w14:schemeClr w14:val="tx1"/>
            </w14:solidFill>
          </w14:textFill>
        </w:rPr>
        <w:t>为国有资产。</w:t>
      </w:r>
    </w:p>
    <w:p w14:paraId="7539E5B4">
      <w:pPr>
        <w:ind w:firstLine="640" w:firstLineChars="200"/>
        <w:rPr>
          <w:rFonts w:ascii="仿宋_GB2312" w:hAnsi="宋体" w:eastAsia="仿宋_GB2312"/>
          <w:color w:val="000000"/>
          <w:sz w:val="32"/>
        </w:rPr>
      </w:pPr>
      <w:r>
        <w:rPr>
          <w:rFonts w:hint="eastAsia" w:ascii="仿宋_GB2312" w:hAnsi="宋体" w:eastAsia="仿宋_GB2312"/>
          <w:color w:val="000000"/>
          <w:sz w:val="32"/>
        </w:rPr>
        <w:t>2</w:t>
      </w:r>
      <w:r>
        <w:rPr>
          <w:rFonts w:ascii="仿宋_GB2312" w:hAnsi="宋体" w:eastAsia="仿宋_GB2312"/>
          <w:color w:val="000000"/>
          <w:sz w:val="32"/>
        </w:rPr>
        <w:t>.</w:t>
      </w:r>
      <w:r>
        <w:rPr>
          <w:rFonts w:hint="eastAsia" w:ascii="仿宋_GB2312" w:hAnsi="宋体" w:eastAsia="仿宋_GB2312"/>
          <w:color w:val="000000"/>
          <w:sz w:val="32"/>
        </w:rPr>
        <w:t>乙方为济南市人民政府批准设立的从事国有企业产权交易等业务的专业交易场所，是济南公共资源交易中心驻场单位之一。具有为国有（集体）产权转让、资产转让、资产出租等业务提供登记、挂牌公告、组织交易、签约成交、价款结算、出具交易凭证等职能。</w:t>
      </w:r>
    </w:p>
    <w:p w14:paraId="37FB6D35">
      <w:pPr>
        <w:ind w:firstLine="640" w:firstLineChars="200"/>
        <w:rPr>
          <w:rFonts w:ascii="仿宋_GB2312" w:hAnsi="宋体" w:eastAsia="仿宋_GB2312"/>
          <w:color w:val="000000"/>
          <w:sz w:val="32"/>
        </w:rPr>
      </w:pPr>
      <w:r>
        <w:rPr>
          <w:rFonts w:hint="eastAsia" w:ascii="仿宋_GB2312" w:hAnsi="宋体" w:eastAsia="仿宋_GB2312"/>
          <w:color w:val="000000"/>
          <w:sz w:val="32"/>
        </w:rPr>
        <w:t>3</w:t>
      </w:r>
      <w:r>
        <w:rPr>
          <w:rFonts w:ascii="仿宋_GB2312" w:hAnsi="宋体" w:eastAsia="仿宋_GB2312"/>
          <w:color w:val="000000"/>
          <w:sz w:val="32"/>
        </w:rPr>
        <w:t>.</w:t>
      </w:r>
      <w:r>
        <w:rPr>
          <w:rFonts w:hint="eastAsia" w:ascii="仿宋_GB2312" w:hAnsi="宋体" w:eastAsia="仿宋_GB2312"/>
          <w:color w:val="000000"/>
          <w:sz w:val="32"/>
        </w:rPr>
        <w:t xml:space="preserve"> 参照国家</w:t>
      </w:r>
      <w:r>
        <w:rPr>
          <w:rFonts w:hint="eastAsia" w:ascii="仿宋_GB2312" w:hAnsi="宋体" w:eastAsia="仿宋_GB2312" w:cs="宋体"/>
          <w:color w:val="000000"/>
          <w:sz w:val="32"/>
          <w:szCs w:val="32"/>
        </w:rPr>
        <w:t>《企业国有资产交易监督管理办法》（国务院国资委、财政部第32号令）、</w:t>
      </w:r>
      <w:r>
        <w:rPr>
          <w:rFonts w:hint="eastAsia" w:ascii="仿宋_GB2312" w:hAnsi="宋体" w:eastAsia="仿宋_GB2312"/>
          <w:color w:val="000000"/>
          <w:sz w:val="32"/>
        </w:rPr>
        <w:t>《山东省企业国有产权交易规则》、《济南市人民政府关于进一步加强和规范公共资源交易管理的意见》（济政发（2010）24号文）、《济南市市属国有企业实物资产出租管理办法》的有关规定，实物资产出租必须进入济南产权交易服务有限公司公开交易。</w:t>
      </w:r>
    </w:p>
    <w:p w14:paraId="3905BE3E">
      <w:pPr>
        <w:ind w:firstLine="640" w:firstLineChars="200"/>
        <w:rPr>
          <w:rFonts w:ascii="仿宋_GB2312" w:hAnsi="宋体" w:eastAsia="仿宋_GB2312"/>
          <w:color w:val="000000"/>
          <w:sz w:val="32"/>
        </w:rPr>
      </w:pPr>
      <w:r>
        <w:rPr>
          <w:rFonts w:ascii="仿宋_GB2312" w:hAnsi="宋体" w:eastAsia="仿宋_GB2312"/>
          <w:color w:val="000000"/>
          <w:sz w:val="32"/>
        </w:rPr>
        <w:t>4.</w:t>
      </w:r>
      <w:r>
        <w:rPr>
          <w:rFonts w:hint="eastAsia" w:ascii="仿宋_GB2312" w:hAnsi="宋体" w:eastAsia="仿宋_GB2312"/>
          <w:color w:val="000000"/>
          <w:sz w:val="32"/>
        </w:rPr>
        <w:t>根据</w:t>
      </w:r>
      <w:r>
        <w:rPr>
          <w:rFonts w:hint="eastAsia" w:ascii="仿宋_GB2312" w:hAnsi="宋体" w:eastAsia="仿宋_GB2312"/>
          <w:color w:val="000000"/>
          <w:sz w:val="32"/>
          <w:u w:val="single"/>
        </w:rPr>
        <w:t xml:space="preserve"> 济南文旅发展集团有限公司 </w:t>
      </w:r>
      <w:r>
        <w:rPr>
          <w:rFonts w:hint="eastAsia" w:ascii="仿宋_GB2312" w:hAnsi="宋体" w:eastAsia="仿宋_GB2312"/>
          <w:color w:val="000000"/>
          <w:sz w:val="32"/>
        </w:rPr>
        <w:t>确认该标的出租底价，甲方同意挂牌出租其</w:t>
      </w:r>
      <w:r>
        <w:rPr>
          <w:rFonts w:hint="eastAsia" w:ascii="仿宋_GB2312" w:hAnsi="宋体" w:eastAsia="仿宋_GB2312"/>
          <w:color w:val="000000" w:themeColor="text1"/>
          <w:sz w:val="32"/>
          <w:u w:val="single"/>
          <w:lang w:val="en-US" w:eastAsia="zh-CN"/>
          <w14:textFill>
            <w14:solidFill>
              <w14:schemeClr w14:val="tx1"/>
            </w14:solidFill>
          </w14:textFill>
        </w:rPr>
        <w:t xml:space="preserve"> </w:t>
      </w:r>
      <w:r>
        <w:rPr>
          <w:rFonts w:hint="eastAsia" w:ascii="仿宋_GB2312" w:hAnsi="宋体" w:eastAsia="仿宋_GB2312"/>
          <w:color w:val="000000" w:themeColor="text1"/>
          <w:sz w:val="32"/>
          <w:u w:val="single"/>
          <w14:textFill>
            <w14:solidFill>
              <w14:schemeClr w14:val="tx1"/>
            </w14:solidFill>
          </w14:textFill>
        </w:rPr>
        <w:t>济南野生动物世界自驾游部分土地1年使用权</w:t>
      </w:r>
      <w:r>
        <w:rPr>
          <w:rFonts w:hint="eastAsia" w:ascii="仿宋_GB2312" w:hAnsi="宋体" w:eastAsia="仿宋_GB2312"/>
          <w:color w:val="000000"/>
          <w:sz w:val="32"/>
        </w:rPr>
        <w:t>，该项</w:t>
      </w:r>
      <w:r>
        <w:rPr>
          <w:rFonts w:hint="eastAsia" w:ascii="仿宋_GB2312" w:hAnsi="宋体" w:eastAsia="仿宋_GB2312"/>
          <w:color w:val="000000" w:themeColor="text1"/>
          <w:sz w:val="32"/>
          <w14:textFill>
            <w14:solidFill>
              <w14:schemeClr w14:val="tx1"/>
            </w14:solidFill>
          </w14:textFill>
        </w:rPr>
        <w:t>目出租期限</w:t>
      </w:r>
      <w:r>
        <w:rPr>
          <w:rFonts w:hint="eastAsia" w:ascii="仿宋_GB2312" w:hAnsi="宋体" w:eastAsia="仿宋_GB2312"/>
          <w:color w:val="000000" w:themeColor="text1"/>
          <w:sz w:val="32"/>
          <w:u w:val="single"/>
          <w14:textFill>
            <w14:solidFill>
              <w14:schemeClr w14:val="tx1"/>
            </w14:solidFill>
          </w14:textFill>
        </w:rPr>
        <w:t xml:space="preserve"> </w:t>
      </w:r>
      <w:r>
        <w:rPr>
          <w:rFonts w:hint="eastAsia" w:ascii="仿宋_GB2312" w:hAnsi="宋体" w:eastAsia="仿宋_GB2312"/>
          <w:color w:val="000000" w:themeColor="text1"/>
          <w:sz w:val="32"/>
          <w:u w:val="single"/>
          <w:lang w:val="en-US" w:eastAsia="zh-CN"/>
          <w14:textFill>
            <w14:solidFill>
              <w14:schemeClr w14:val="tx1"/>
            </w14:solidFill>
          </w14:textFill>
        </w:rPr>
        <w:t xml:space="preserve"> 1 </w:t>
      </w:r>
      <w:r>
        <w:rPr>
          <w:rFonts w:hint="eastAsia" w:ascii="仿宋_GB2312" w:hAnsi="宋体" w:eastAsia="仿宋_GB2312"/>
          <w:color w:val="000000" w:themeColor="text1"/>
          <w:sz w:val="32"/>
          <w:u w:val="single"/>
          <w14:textFill>
            <w14:solidFill>
              <w14:schemeClr w14:val="tx1"/>
            </w14:solidFill>
          </w14:textFill>
        </w:rPr>
        <w:t xml:space="preserve">年 </w:t>
      </w:r>
      <w:r>
        <w:rPr>
          <w:rFonts w:hint="eastAsia" w:ascii="仿宋_GB2312" w:hAnsi="宋体" w:eastAsia="仿宋_GB2312"/>
          <w:color w:val="000000" w:themeColor="text1"/>
          <w:sz w:val="32"/>
          <w14:textFill>
            <w14:solidFill>
              <w14:schemeClr w14:val="tx1"/>
            </w14:solidFill>
          </w14:textFill>
        </w:rPr>
        <w:t>，年租金为</w:t>
      </w:r>
      <w:r>
        <w:rPr>
          <w:rFonts w:hint="eastAsia" w:ascii="仿宋_GB2312" w:hAnsi="宋体" w:eastAsia="仿宋_GB2312"/>
          <w:color w:val="000000" w:themeColor="text1"/>
          <w:sz w:val="32"/>
          <w:u w:val="single"/>
          <w:lang w:val="en-US" w:eastAsia="zh-CN"/>
          <w14:textFill>
            <w14:solidFill>
              <w14:schemeClr w14:val="tx1"/>
            </w14:solidFill>
          </w14:textFill>
        </w:rPr>
        <w:t xml:space="preserve">  473096</w:t>
      </w:r>
      <w:r>
        <w:rPr>
          <w:rFonts w:hint="eastAsia" w:ascii="仿宋_GB2312" w:hAnsi="宋体" w:eastAsia="仿宋_GB2312"/>
          <w:color w:val="000000" w:themeColor="text1"/>
          <w:sz w:val="32"/>
          <w:u w:val="single"/>
          <w14:textFill>
            <w14:solidFill>
              <w14:schemeClr w14:val="tx1"/>
            </w14:solidFill>
          </w14:textFill>
        </w:rPr>
        <w:t xml:space="preserve">元/年 </w:t>
      </w:r>
      <w:r>
        <w:rPr>
          <w:rFonts w:hint="eastAsia" w:ascii="仿宋_GB2312" w:hAnsi="宋体" w:eastAsia="仿宋_GB2312"/>
          <w:color w:val="000000" w:themeColor="text1"/>
          <w:sz w:val="32"/>
          <w14:textFill>
            <w14:solidFill>
              <w14:schemeClr w14:val="tx1"/>
            </w14:solidFill>
          </w14:textFill>
        </w:rPr>
        <w:t>。</w:t>
      </w:r>
      <w:r>
        <w:rPr>
          <w:rFonts w:hint="eastAsia" w:ascii="仿宋_GB2312" w:hAnsi="宋体" w:eastAsia="仿宋_GB2312"/>
          <w:color w:val="000000"/>
          <w:sz w:val="32"/>
        </w:rPr>
        <w:t>甲、乙双方经友好协商，现就甲方公开进入产权市场挂牌出租</w:t>
      </w:r>
      <w:r>
        <w:rPr>
          <w:rFonts w:hint="eastAsia" w:ascii="仿宋_GB2312" w:hAnsi="宋体" w:eastAsia="仿宋_GB2312"/>
          <w:color w:val="000000" w:themeColor="text1"/>
          <w:sz w:val="32"/>
          <w:u w:val="single"/>
          <w14:textFill>
            <w14:solidFill>
              <w14:schemeClr w14:val="tx1"/>
            </w14:solidFill>
          </w14:textFill>
        </w:rPr>
        <w:t>济南野生动物世界自驾游部分土地1年使用权</w:t>
      </w:r>
      <w:r>
        <w:rPr>
          <w:rFonts w:hint="eastAsia" w:ascii="仿宋_GB2312" w:hAnsi="宋体" w:eastAsia="仿宋_GB2312"/>
          <w:color w:val="000000"/>
          <w:sz w:val="32"/>
        </w:rPr>
        <w:t>，规范办理该项目出租事宜达成一致，签订协议如下：</w:t>
      </w:r>
    </w:p>
    <w:p w14:paraId="7E38CB5F">
      <w:pPr>
        <w:outlineLvl w:val="0"/>
        <w:rPr>
          <w:rFonts w:ascii="黑体" w:hAnsi="宋体" w:eastAsia="黑体"/>
          <w:color w:val="000000"/>
          <w:sz w:val="32"/>
        </w:rPr>
      </w:pPr>
      <w:r>
        <w:rPr>
          <w:rFonts w:ascii="仿宋_GB2312" w:hAnsi="宋体" w:eastAsia="仿宋_GB2312"/>
          <w:color w:val="000000"/>
          <w:sz w:val="32"/>
        </w:rPr>
        <w:t xml:space="preserve">    </w:t>
      </w:r>
      <w:r>
        <w:rPr>
          <w:rFonts w:hint="eastAsia" w:ascii="黑体" w:hAnsi="宋体" w:eastAsia="黑体"/>
          <w:color w:val="000000"/>
          <w:sz w:val="32"/>
        </w:rPr>
        <w:t>一、双方责任</w:t>
      </w:r>
    </w:p>
    <w:p w14:paraId="579C50BB">
      <w:pPr>
        <w:ind w:firstLine="640" w:firstLineChars="200"/>
        <w:rPr>
          <w:rFonts w:ascii="仿宋_GB2312" w:hAnsi="宋体" w:eastAsia="仿宋_GB2312"/>
          <w:color w:val="000000"/>
          <w:sz w:val="32"/>
        </w:rPr>
      </w:pPr>
      <w:r>
        <w:rPr>
          <w:rFonts w:ascii="仿宋_GB2312" w:hAnsi="宋体" w:eastAsia="仿宋_GB2312"/>
          <w:color w:val="000000"/>
          <w:sz w:val="32"/>
        </w:rPr>
        <w:t>1.1</w:t>
      </w:r>
      <w:r>
        <w:rPr>
          <w:rFonts w:hint="eastAsia" w:ascii="仿宋_GB2312" w:hAnsi="宋体" w:eastAsia="仿宋_GB2312"/>
          <w:color w:val="000000"/>
          <w:sz w:val="32"/>
        </w:rPr>
        <w:t>甲方同意在乙方交易市场内按照法定程序出租资产，同意按照相关规定及时向乙方缴纳</w:t>
      </w:r>
      <w:bookmarkStart w:id="0" w:name="_GoBack"/>
      <w:bookmarkEnd w:id="0"/>
      <w:r>
        <w:rPr>
          <w:rFonts w:hint="eastAsia" w:ascii="仿宋_GB2312" w:hAnsi="宋体" w:eastAsia="仿宋_GB2312"/>
          <w:color w:val="000000"/>
          <w:sz w:val="32"/>
        </w:rPr>
        <w:t>各项交易费用。</w:t>
      </w:r>
    </w:p>
    <w:p w14:paraId="07F0267C">
      <w:pPr>
        <w:ind w:firstLine="640" w:firstLineChars="200"/>
        <w:rPr>
          <w:rFonts w:ascii="仿宋_GB2312" w:hAnsi="宋体" w:eastAsia="仿宋_GB2312"/>
          <w:color w:val="000000"/>
          <w:sz w:val="32"/>
        </w:rPr>
      </w:pPr>
      <w:r>
        <w:rPr>
          <w:rFonts w:ascii="仿宋_GB2312" w:hAnsi="宋体" w:eastAsia="仿宋_GB2312"/>
          <w:color w:val="000000"/>
          <w:sz w:val="32"/>
        </w:rPr>
        <w:t xml:space="preserve">1.2 </w:t>
      </w:r>
      <w:r>
        <w:rPr>
          <w:rFonts w:hint="eastAsia" w:ascii="仿宋_GB2312" w:hAnsi="宋体" w:eastAsia="仿宋_GB2312"/>
          <w:color w:val="000000"/>
          <w:sz w:val="32"/>
        </w:rPr>
        <w:t>乙方同意依法为甲方出租其标的办理有关手续，包括提供登记、挂牌公告、组织交易、签约成交、价款结算等事宜。乙方保证其在本协议履行过程中的行为符合中华人民共和国法律、法规、政策及相关规范性文件的规定。</w:t>
      </w:r>
    </w:p>
    <w:p w14:paraId="214BF442">
      <w:pPr>
        <w:ind w:firstLine="640" w:firstLineChars="200"/>
        <w:rPr>
          <w:rFonts w:ascii="仿宋_GB2312" w:hAnsi="宋体" w:eastAsia="仿宋_GB2312"/>
          <w:color w:val="000000"/>
          <w:sz w:val="32"/>
        </w:rPr>
      </w:pPr>
      <w:r>
        <w:rPr>
          <w:rFonts w:ascii="仿宋_GB2312" w:hAnsi="宋体" w:eastAsia="仿宋_GB2312"/>
          <w:color w:val="000000"/>
          <w:sz w:val="32"/>
        </w:rPr>
        <w:t xml:space="preserve">1.3 </w:t>
      </w:r>
      <w:r>
        <w:rPr>
          <w:rFonts w:hint="eastAsia" w:ascii="仿宋_GB2312" w:hAnsi="宋体" w:eastAsia="仿宋_GB2312"/>
          <w:color w:val="000000"/>
          <w:sz w:val="32"/>
        </w:rPr>
        <w:t>甲乙双方在本协议履行过程中应及时互通工作进展情况，以保证本次交易能依法按时完成。</w:t>
      </w:r>
    </w:p>
    <w:p w14:paraId="3BD94E0F">
      <w:pPr>
        <w:ind w:firstLine="800" w:firstLineChars="250"/>
        <w:outlineLvl w:val="0"/>
        <w:rPr>
          <w:rFonts w:ascii="黑体" w:hAnsi="宋体" w:eastAsia="黑体"/>
          <w:color w:val="000000"/>
          <w:sz w:val="32"/>
        </w:rPr>
      </w:pPr>
      <w:r>
        <w:rPr>
          <w:rFonts w:hint="eastAsia" w:ascii="黑体" w:hAnsi="宋体" w:eastAsia="黑体"/>
          <w:color w:val="000000"/>
          <w:sz w:val="32"/>
        </w:rPr>
        <w:t>二、交易方式</w:t>
      </w:r>
    </w:p>
    <w:p w14:paraId="61A4635C">
      <w:pPr>
        <w:ind w:firstLine="640" w:firstLineChars="200"/>
        <w:rPr>
          <w:rFonts w:ascii="仿宋_GB2312" w:hAnsi="宋体" w:eastAsia="仿宋_GB2312"/>
          <w:color w:val="000000"/>
          <w:sz w:val="32"/>
        </w:rPr>
      </w:pPr>
      <w:r>
        <w:rPr>
          <w:rFonts w:hint="eastAsia" w:ascii="仿宋_GB2312" w:hAnsi="宋体" w:eastAsia="仿宋_GB2312"/>
          <w:color w:val="000000"/>
          <w:sz w:val="32"/>
        </w:rPr>
        <w:t>2</w:t>
      </w:r>
      <w:r>
        <w:rPr>
          <w:rFonts w:ascii="仿宋_GB2312" w:hAnsi="宋体" w:eastAsia="仿宋_GB2312"/>
          <w:color w:val="000000"/>
          <w:sz w:val="32"/>
        </w:rPr>
        <w:t>.1</w:t>
      </w:r>
      <w:r>
        <w:rPr>
          <w:rFonts w:hint="eastAsia" w:ascii="仿宋_GB2312" w:hAnsi="宋体" w:eastAsia="仿宋_GB2312"/>
          <w:color w:val="000000"/>
          <w:sz w:val="32"/>
        </w:rPr>
        <w:t>根据国家和山东省及济南市的有关国有资产出租交易的规定，甲方出租该项资产的交易项目应委托乙方在济南公共资源交易中心网站、乙方网站进行公开公告。公告时间不少于5个工作日。</w:t>
      </w:r>
    </w:p>
    <w:p w14:paraId="64FFDF05">
      <w:pPr>
        <w:ind w:firstLine="640" w:firstLineChars="200"/>
        <w:rPr>
          <w:rFonts w:ascii="仿宋_GB2312" w:hAnsi="宋体" w:eastAsia="仿宋_GB2312"/>
          <w:color w:val="000000"/>
          <w:sz w:val="32"/>
        </w:rPr>
      </w:pPr>
      <w:r>
        <w:rPr>
          <w:rFonts w:hint="eastAsia" w:ascii="仿宋_GB2312" w:hAnsi="宋体" w:eastAsia="仿宋_GB2312"/>
          <w:color w:val="000000"/>
          <w:sz w:val="32"/>
        </w:rPr>
        <w:t>2</w:t>
      </w:r>
      <w:r>
        <w:rPr>
          <w:rFonts w:ascii="仿宋_GB2312" w:hAnsi="宋体" w:eastAsia="仿宋_GB2312"/>
          <w:color w:val="000000"/>
          <w:sz w:val="32"/>
        </w:rPr>
        <w:t>.2</w:t>
      </w:r>
      <w:r>
        <w:rPr>
          <w:rFonts w:hint="eastAsia" w:ascii="仿宋_GB2312" w:hAnsi="宋体" w:eastAsia="仿宋_GB2312"/>
          <w:color w:val="000000"/>
          <w:sz w:val="32"/>
        </w:rPr>
        <w:t>如果仅产生一个承租方，可以采取协议转让方式进行；如果产生两个或两个以上承租方，由出租方选择网络竞价方式进行交易。</w:t>
      </w:r>
    </w:p>
    <w:p w14:paraId="4DB44123">
      <w:pPr>
        <w:spacing w:line="580" w:lineRule="exact"/>
        <w:ind w:firstLine="640" w:firstLineChars="200"/>
        <w:rPr>
          <w:rFonts w:ascii="仿宋_GB2312" w:hAnsi="宋体" w:eastAsia="仿宋_GB2312"/>
          <w:color w:val="000000"/>
          <w:sz w:val="32"/>
        </w:rPr>
      </w:pPr>
      <w:r>
        <w:rPr>
          <w:rFonts w:hint="eastAsia" w:ascii="仿宋_GB2312" w:hAnsi="宋体" w:eastAsia="仿宋_GB2312"/>
          <w:color w:val="000000"/>
          <w:sz w:val="32"/>
        </w:rPr>
        <w:t>2</w:t>
      </w:r>
      <w:r>
        <w:rPr>
          <w:rFonts w:ascii="仿宋_GB2312" w:hAnsi="宋体" w:eastAsia="仿宋_GB2312"/>
          <w:color w:val="000000"/>
          <w:sz w:val="32"/>
        </w:rPr>
        <w:t>.</w:t>
      </w:r>
      <w:r>
        <w:rPr>
          <w:rFonts w:hint="eastAsia" w:ascii="仿宋_GB2312" w:hAnsi="宋体" w:eastAsia="仿宋_GB2312"/>
          <w:color w:val="000000"/>
          <w:sz w:val="32"/>
        </w:rPr>
        <w:t>3最终承租方确定后，由乙方组织指导甲方与承租方签订“资产租赁协议”。</w:t>
      </w:r>
    </w:p>
    <w:p w14:paraId="685E0FAF">
      <w:pPr>
        <w:ind w:firstLine="640" w:firstLineChars="200"/>
        <w:outlineLvl w:val="0"/>
        <w:rPr>
          <w:rFonts w:ascii="黑体" w:hAnsi="宋体" w:eastAsia="黑体"/>
          <w:color w:val="000000"/>
          <w:sz w:val="32"/>
        </w:rPr>
      </w:pPr>
      <w:r>
        <w:rPr>
          <w:rFonts w:hint="eastAsia" w:ascii="黑体" w:hAnsi="宋体" w:eastAsia="黑体"/>
          <w:color w:val="000000"/>
          <w:sz w:val="32"/>
        </w:rPr>
        <w:t>三、交易费用</w:t>
      </w:r>
    </w:p>
    <w:p w14:paraId="74FD2CBC">
      <w:pPr>
        <w:pStyle w:val="6"/>
        <w:wordWrap w:val="0"/>
        <w:spacing w:before="0" w:beforeAutospacing="0" w:after="0" w:afterAutospacing="0" w:line="432" w:lineRule="auto"/>
        <w:ind w:firstLine="640" w:firstLineChars="200"/>
        <w:jc w:val="both"/>
        <w:rPr>
          <w:rFonts w:ascii="仿宋_GB2312" w:eastAsia="仿宋_GB2312"/>
          <w:color w:val="FF0000"/>
          <w:sz w:val="32"/>
        </w:rPr>
      </w:pPr>
      <w:r>
        <w:rPr>
          <w:rFonts w:hint="eastAsia" w:ascii="仿宋_GB2312" w:eastAsia="仿宋_GB2312"/>
          <w:color w:val="FF0000"/>
          <w:sz w:val="32"/>
        </w:rPr>
        <w:t>3</w:t>
      </w:r>
      <w:r>
        <w:rPr>
          <w:rFonts w:ascii="仿宋_GB2312" w:eastAsia="仿宋_GB2312"/>
          <w:color w:val="FF0000"/>
          <w:sz w:val="32"/>
        </w:rPr>
        <w:t xml:space="preserve">.1 </w:t>
      </w:r>
      <w:r>
        <w:rPr>
          <w:rFonts w:hint="eastAsia" w:ascii="仿宋_GB2312" w:eastAsia="仿宋_GB2312"/>
          <w:color w:val="FF0000"/>
          <w:sz w:val="32"/>
          <w:lang w:val="en-US" w:eastAsia="zh-CN"/>
        </w:rPr>
        <w:t>产权服务费</w:t>
      </w:r>
      <w:r>
        <w:rPr>
          <w:rFonts w:hint="eastAsia" w:ascii="仿宋_GB2312" w:eastAsia="仿宋_GB2312"/>
          <w:color w:val="FF0000"/>
          <w:sz w:val="32"/>
        </w:rPr>
        <w:t>按成交价格的2‰标准计算交纳。</w:t>
      </w:r>
    </w:p>
    <w:p w14:paraId="353DC107">
      <w:pPr>
        <w:ind w:firstLine="640" w:firstLineChars="200"/>
        <w:rPr>
          <w:rFonts w:ascii="仿宋_GB2312" w:hAnsi="宋体" w:eastAsia="仿宋_GB2312"/>
          <w:color w:val="000000"/>
          <w:sz w:val="32"/>
        </w:rPr>
      </w:pPr>
      <w:r>
        <w:rPr>
          <w:rFonts w:hint="eastAsia" w:ascii="仿宋_GB2312" w:hAnsi="宋体" w:eastAsia="仿宋_GB2312"/>
          <w:color w:val="000000"/>
          <w:sz w:val="32"/>
        </w:rPr>
        <w:t>3.2如产生两家或两家以上采用竞价方式组织交易确定最终租赁方的，收取甲方较挂牌价格溢价部分的</w:t>
      </w:r>
      <w:r>
        <w:rPr>
          <w:rFonts w:hint="eastAsia" w:ascii="仿宋_GB2312" w:hAnsi="宋体" w:eastAsia="仿宋_GB2312"/>
          <w:color w:val="000000"/>
          <w:sz w:val="32"/>
          <w:u w:val="single"/>
        </w:rPr>
        <w:t>5</w:t>
      </w:r>
      <w:r>
        <w:rPr>
          <w:rFonts w:hint="eastAsia" w:ascii="仿宋_GB2312" w:hAnsi="宋体" w:eastAsia="仿宋_GB2312"/>
          <w:color w:val="000000"/>
          <w:sz w:val="32"/>
        </w:rPr>
        <w:t>%，作为竞价佣金。</w:t>
      </w:r>
    </w:p>
    <w:p w14:paraId="110217BE">
      <w:pPr>
        <w:ind w:firstLine="640" w:firstLineChars="200"/>
        <w:outlineLvl w:val="0"/>
        <w:rPr>
          <w:rFonts w:ascii="黑体" w:hAnsi="宋体" w:eastAsia="黑体"/>
          <w:color w:val="000000"/>
          <w:sz w:val="32"/>
        </w:rPr>
      </w:pPr>
      <w:r>
        <w:rPr>
          <w:rFonts w:hint="eastAsia" w:ascii="黑体" w:hAnsi="宋体" w:eastAsia="黑体"/>
          <w:color w:val="000000"/>
          <w:sz w:val="32"/>
        </w:rPr>
        <w:t>四、交易价款的结算及划转</w:t>
      </w:r>
    </w:p>
    <w:p w14:paraId="5D06BB5D">
      <w:pPr>
        <w:ind w:firstLine="640" w:firstLineChars="200"/>
        <w:outlineLvl w:val="0"/>
        <w:rPr>
          <w:rFonts w:ascii="仿宋_GB2312" w:hAnsi="宋体" w:eastAsia="仿宋_GB2312"/>
          <w:sz w:val="32"/>
          <w:szCs w:val="32"/>
        </w:rPr>
      </w:pPr>
      <w:r>
        <w:rPr>
          <w:rFonts w:hint="eastAsia" w:ascii="仿宋_GB2312" w:hAnsi="宋体" w:eastAsia="仿宋_GB2312"/>
          <w:color w:val="000000"/>
          <w:sz w:val="32"/>
          <w:szCs w:val="32"/>
        </w:rPr>
        <w:t>4.1产权服务费等相关费用，自甲方与最终承租方签订相关“资产租赁合同”后3个工作日内缴纳，逾期未缴纳的，乙方有权在甲方的租金中扣收。</w:t>
      </w:r>
      <w:r>
        <w:rPr>
          <w:rFonts w:hint="eastAsia" w:ascii="仿宋_GB2312" w:hAnsi="宋体" w:eastAsia="仿宋_GB2312"/>
          <w:sz w:val="32"/>
          <w:szCs w:val="32"/>
        </w:rPr>
        <w:t>甲方承诺遵守乙方制定的《济南产权交易服务有限公司保证金操作细则》，如出现违约行为，按《济南产权交易服务有限公司保证金操作细则》相关规定处理。</w:t>
      </w:r>
    </w:p>
    <w:p w14:paraId="3E221917">
      <w:pPr>
        <w:ind w:firstLine="640" w:firstLineChars="200"/>
        <w:rPr>
          <w:rFonts w:ascii="仿宋_GB2312" w:hAnsi="宋体" w:eastAsia="仿宋_GB2312"/>
          <w:strike/>
          <w:color w:val="000000"/>
          <w:sz w:val="32"/>
          <w:szCs w:val="32"/>
        </w:rPr>
      </w:pPr>
      <w:r>
        <w:rPr>
          <w:rFonts w:hint="eastAsia" w:ascii="仿宋_GB2312" w:hAnsi="宋体" w:eastAsia="仿宋_GB2312"/>
          <w:color w:val="000000"/>
          <w:sz w:val="32"/>
          <w:szCs w:val="32"/>
        </w:rPr>
        <w:t>4</w:t>
      </w:r>
      <w:r>
        <w:rPr>
          <w:rFonts w:ascii="仿宋_GB2312" w:hAnsi="宋体" w:eastAsia="仿宋_GB2312"/>
          <w:color w:val="000000"/>
          <w:sz w:val="32"/>
          <w:szCs w:val="32"/>
        </w:rPr>
        <w:t>.</w:t>
      </w:r>
      <w:r>
        <w:rPr>
          <w:rFonts w:hint="eastAsia" w:ascii="仿宋_GB2312" w:hAnsi="宋体" w:eastAsia="仿宋_GB2312"/>
          <w:color w:val="000000"/>
          <w:sz w:val="32"/>
          <w:szCs w:val="32"/>
        </w:rPr>
        <w:t>2该项目资金结算，需待出租、承租双方签订资产租赁合同、济南公共资源交易中心出具凭证、各项交易费用缴纳完毕后，可申请结算租金。</w:t>
      </w:r>
    </w:p>
    <w:p w14:paraId="46F5C433">
      <w:pPr>
        <w:ind w:firstLine="640" w:firstLineChars="200"/>
        <w:rPr>
          <w:rFonts w:ascii="仿宋_GB2312"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4.3依据相关法规要求，</w:t>
      </w:r>
      <w:r>
        <w:rPr>
          <w:rFonts w:hint="eastAsia" w:ascii="仿宋_GB2312" w:hAnsi="宋体" w:eastAsia="仿宋_GB2312"/>
          <w:color w:val="000000" w:themeColor="text1"/>
          <w:sz w:val="32"/>
          <w:szCs w:val="32"/>
          <w:lang w:val="en-US" w:eastAsia="zh-CN"/>
          <w14:textFill>
            <w14:solidFill>
              <w14:schemeClr w14:val="tx1"/>
            </w14:solidFill>
          </w14:textFill>
        </w:rPr>
        <w:t>产权</w:t>
      </w:r>
      <w:r>
        <w:rPr>
          <w:rFonts w:hint="eastAsia" w:ascii="仿宋_GB2312" w:eastAsia="仿宋_GB2312" w:cs="Times New Roman"/>
          <w:color w:val="000000"/>
          <w:kern w:val="2"/>
          <w:sz w:val="32"/>
          <w:lang w:val="en-US" w:eastAsia="zh-CN"/>
        </w:rPr>
        <w:t>服务</w:t>
      </w:r>
      <w:r>
        <w:rPr>
          <w:rFonts w:hint="eastAsia" w:ascii="仿宋_GB2312" w:eastAsia="仿宋_GB2312" w:cs="Times New Roman"/>
          <w:color w:val="000000"/>
          <w:kern w:val="2"/>
          <w:sz w:val="32"/>
        </w:rPr>
        <w:t>费</w:t>
      </w:r>
      <w:r>
        <w:rPr>
          <w:rFonts w:hint="eastAsia" w:ascii="仿宋_GB2312" w:eastAsia="仿宋_GB2312"/>
          <w:color w:val="000000" w:themeColor="text1"/>
          <w:sz w:val="32"/>
          <w:szCs w:val="32"/>
          <w14:textFill>
            <w14:solidFill>
              <w14:schemeClr w14:val="tx1"/>
            </w14:solidFill>
          </w14:textFill>
        </w:rPr>
        <w:t>在本</w:t>
      </w:r>
      <w:r>
        <w:rPr>
          <w:rFonts w:hint="eastAsia" w:ascii="仿宋_GB2312" w:eastAsia="仿宋_GB2312"/>
          <w:sz w:val="32"/>
          <w:szCs w:val="32"/>
        </w:rPr>
        <w:t>次资产租赁过程中</w:t>
      </w:r>
      <w:r>
        <w:rPr>
          <w:rFonts w:hint="eastAsia" w:ascii="仿宋_GB2312" w:eastAsia="仿宋_GB2312"/>
          <w:color w:val="000000" w:themeColor="text1"/>
          <w:sz w:val="32"/>
          <w:szCs w:val="32"/>
          <w14:textFill>
            <w14:solidFill>
              <w14:schemeClr w14:val="tx1"/>
            </w14:solidFill>
          </w14:textFill>
        </w:rPr>
        <w:t>各项相关费用统一通过乙方产权交易资金结算专用账户结算，该项目首期租金由济南产权交易服务有限公司代收代付。</w:t>
      </w:r>
    </w:p>
    <w:p w14:paraId="537C4241">
      <w:pPr>
        <w:ind w:firstLine="640" w:firstLineChars="200"/>
        <w:outlineLvl w:val="0"/>
        <w:rPr>
          <w:rFonts w:hint="eastAsia" w:ascii="仿宋_GB2312" w:eastAsia="仿宋_GB2312"/>
          <w:color w:val="000000"/>
          <w:sz w:val="32"/>
          <w:szCs w:val="32"/>
        </w:rPr>
      </w:pPr>
      <w:r>
        <w:rPr>
          <w:rFonts w:hint="eastAsia" w:ascii="仿宋_GB2312" w:eastAsia="仿宋_GB2312"/>
          <w:color w:val="000000"/>
          <w:sz w:val="32"/>
          <w:szCs w:val="32"/>
        </w:rPr>
        <w:t>收款账户名称:济南产权交易服务有限公司</w:t>
      </w:r>
    </w:p>
    <w:p w14:paraId="54D97551">
      <w:pPr>
        <w:ind w:firstLine="640" w:firstLineChars="200"/>
        <w:outlineLvl w:val="0"/>
        <w:rPr>
          <w:rFonts w:hint="eastAsia" w:ascii="仿宋_GB2312" w:eastAsia="仿宋_GB2312"/>
          <w:color w:val="000000"/>
          <w:sz w:val="32"/>
          <w:szCs w:val="32"/>
        </w:rPr>
      </w:pPr>
      <w:r>
        <w:rPr>
          <w:rFonts w:hint="eastAsia" w:ascii="仿宋_GB2312" w:eastAsia="仿宋_GB2312"/>
          <w:color w:val="000000"/>
          <w:sz w:val="32"/>
          <w:szCs w:val="32"/>
        </w:rPr>
        <w:t xml:space="preserve">银行账号:86611766101421024077 </w:t>
      </w:r>
    </w:p>
    <w:p w14:paraId="08208137">
      <w:pPr>
        <w:ind w:firstLine="640" w:firstLineChars="200"/>
        <w:outlineLvl w:val="0"/>
        <w:rPr>
          <w:rFonts w:hint="eastAsia" w:ascii="仿宋_GB2312" w:eastAsia="仿宋_GB2312"/>
          <w:color w:val="000000"/>
          <w:sz w:val="32"/>
          <w:szCs w:val="32"/>
        </w:rPr>
      </w:pPr>
      <w:r>
        <w:rPr>
          <w:rFonts w:hint="eastAsia" w:ascii="仿宋_GB2312" w:eastAsia="仿宋_GB2312"/>
          <w:color w:val="000000"/>
          <w:sz w:val="32"/>
          <w:szCs w:val="32"/>
        </w:rPr>
        <w:t>开户银行:齐鲁银行济南二环东路支行</w:t>
      </w:r>
    </w:p>
    <w:p w14:paraId="69617903">
      <w:pPr>
        <w:ind w:firstLine="640" w:firstLineChars="200"/>
        <w:outlineLvl w:val="0"/>
        <w:rPr>
          <w:rFonts w:hint="eastAsia" w:ascii="黑体" w:hAnsi="宋体" w:eastAsia="黑体"/>
          <w:color w:val="000000"/>
          <w:sz w:val="32"/>
        </w:rPr>
      </w:pPr>
      <w:r>
        <w:rPr>
          <w:rFonts w:hint="eastAsia" w:ascii="黑体" w:hAnsi="宋体" w:eastAsia="黑体"/>
          <w:color w:val="000000"/>
          <w:sz w:val="32"/>
        </w:rPr>
        <w:t>五、声明及保证</w:t>
      </w:r>
    </w:p>
    <w:p w14:paraId="3506FA77">
      <w:pPr>
        <w:ind w:firstLine="640" w:firstLineChars="200"/>
        <w:rPr>
          <w:rFonts w:ascii="仿宋_GB2312" w:hAnsi="宋体" w:eastAsia="仿宋_GB2312"/>
          <w:color w:val="000000"/>
          <w:sz w:val="32"/>
        </w:rPr>
      </w:pPr>
      <w:r>
        <w:rPr>
          <w:rFonts w:hint="eastAsia" w:ascii="仿宋_GB2312" w:hAnsi="宋体" w:eastAsia="仿宋_GB2312"/>
          <w:color w:val="000000"/>
          <w:sz w:val="32"/>
        </w:rPr>
        <w:t>5</w:t>
      </w:r>
      <w:r>
        <w:rPr>
          <w:rFonts w:ascii="仿宋_GB2312" w:hAnsi="宋体" w:eastAsia="仿宋_GB2312"/>
          <w:color w:val="000000"/>
          <w:sz w:val="32"/>
        </w:rPr>
        <w:t>.1</w:t>
      </w:r>
      <w:r>
        <w:rPr>
          <w:rFonts w:hint="eastAsia" w:ascii="仿宋_GB2312" w:hAnsi="宋体" w:eastAsia="仿宋_GB2312"/>
          <w:color w:val="000000"/>
          <w:sz w:val="32"/>
        </w:rPr>
        <w:t>甲乙双方声明并保证其拥有签署和履行本协议的所有权力及权限，如果本协议由于其中一方缺少适当的权限或批准而导致全部或部分无效，有过错的一方应对此负全部责任。</w:t>
      </w:r>
    </w:p>
    <w:p w14:paraId="5F161362">
      <w:pPr>
        <w:ind w:firstLine="640" w:firstLineChars="200"/>
        <w:rPr>
          <w:rFonts w:ascii="仿宋_GB2312" w:hAnsi="宋体" w:eastAsia="仿宋_GB2312"/>
          <w:color w:val="000000"/>
          <w:sz w:val="32"/>
        </w:rPr>
      </w:pPr>
      <w:r>
        <w:rPr>
          <w:rFonts w:hint="eastAsia" w:ascii="仿宋_GB2312" w:hAnsi="宋体" w:eastAsia="仿宋_GB2312"/>
          <w:color w:val="000000"/>
          <w:sz w:val="32"/>
        </w:rPr>
        <w:t>5</w:t>
      </w:r>
      <w:r>
        <w:rPr>
          <w:rFonts w:ascii="仿宋_GB2312" w:hAnsi="宋体" w:eastAsia="仿宋_GB2312"/>
          <w:color w:val="000000"/>
          <w:sz w:val="32"/>
        </w:rPr>
        <w:t>.2</w:t>
      </w:r>
      <w:r>
        <w:rPr>
          <w:rFonts w:hint="eastAsia" w:ascii="仿宋_GB2312" w:hAnsi="宋体" w:eastAsia="仿宋_GB2312"/>
          <w:color w:val="000000"/>
          <w:sz w:val="32"/>
        </w:rPr>
        <w:t>甲方保证向乙方提交的资料、披露的信息是全面、真实、准确、完整、及时的，不存在虚假、误导性或重大遗漏。</w:t>
      </w:r>
    </w:p>
    <w:p w14:paraId="40577403">
      <w:pPr>
        <w:ind w:firstLine="640" w:firstLineChars="200"/>
        <w:rPr>
          <w:rFonts w:ascii="仿宋_GB2312" w:hAnsi="宋体" w:eastAsia="仿宋_GB2312"/>
          <w:color w:val="000000"/>
          <w:sz w:val="32"/>
        </w:rPr>
      </w:pPr>
      <w:r>
        <w:rPr>
          <w:rFonts w:hint="eastAsia" w:ascii="仿宋_GB2312" w:hAnsi="宋体" w:eastAsia="仿宋_GB2312"/>
          <w:color w:val="000000"/>
          <w:sz w:val="32"/>
        </w:rPr>
        <w:t>乙方积极努力依法合规操作，但是不为甲方的出租行为保证交易成功。</w:t>
      </w:r>
      <w:r>
        <w:rPr>
          <w:rFonts w:ascii="仿宋_GB2312" w:hAnsi="宋体" w:eastAsia="仿宋_GB2312"/>
          <w:color w:val="000000"/>
          <w:sz w:val="32"/>
        </w:rPr>
        <w:t xml:space="preserve"> </w:t>
      </w:r>
    </w:p>
    <w:p w14:paraId="1588E052">
      <w:pPr>
        <w:ind w:firstLine="640" w:firstLineChars="200"/>
        <w:rPr>
          <w:rFonts w:ascii="仿宋_GB2312" w:hAnsi="宋体" w:eastAsia="仿宋_GB2312"/>
          <w:color w:val="000000"/>
          <w:sz w:val="32"/>
        </w:rPr>
      </w:pPr>
      <w:r>
        <w:rPr>
          <w:rFonts w:hint="eastAsia" w:ascii="仿宋_GB2312" w:hAnsi="宋体" w:eastAsia="仿宋_GB2312"/>
          <w:color w:val="000000"/>
          <w:sz w:val="32"/>
        </w:rPr>
        <w:t>乙方对本次出租项目所作出的任何决定，均不表明其对该出租项目作出的是实质性判断或者保证。</w:t>
      </w:r>
    </w:p>
    <w:p w14:paraId="02228043">
      <w:pPr>
        <w:ind w:firstLine="640" w:firstLineChars="200"/>
        <w:rPr>
          <w:rFonts w:ascii="仿宋_GB2312" w:eastAsia="仿宋_GB2312"/>
          <w:color w:val="000000"/>
          <w:sz w:val="32"/>
          <w:szCs w:val="32"/>
        </w:rPr>
      </w:pPr>
      <w:r>
        <w:rPr>
          <w:rFonts w:hint="eastAsia" w:ascii="仿宋_GB2312" w:hAnsi="宋体" w:eastAsia="仿宋_GB2312"/>
          <w:color w:val="000000"/>
          <w:sz w:val="32"/>
        </w:rPr>
        <w:t>5</w:t>
      </w:r>
      <w:r>
        <w:rPr>
          <w:rFonts w:ascii="仿宋_GB2312" w:hAnsi="宋体" w:eastAsia="仿宋_GB2312"/>
          <w:color w:val="000000"/>
          <w:sz w:val="32"/>
        </w:rPr>
        <w:t>.3</w:t>
      </w:r>
      <w:r>
        <w:rPr>
          <w:rFonts w:hint="eastAsia" w:ascii="仿宋_GB2312" w:hAnsi="宋体" w:eastAsia="仿宋_GB2312"/>
          <w:color w:val="000000"/>
          <w:sz w:val="32"/>
        </w:rPr>
        <w:t>甲方保证</w:t>
      </w:r>
      <w:r>
        <w:rPr>
          <w:rFonts w:hint="eastAsia" w:ascii="仿宋_GB2312" w:eastAsia="仿宋_GB2312"/>
          <w:color w:val="000000"/>
          <w:sz w:val="32"/>
          <w:szCs w:val="32"/>
        </w:rPr>
        <w:t>在评估基准日到权属变更日期间负责监督出让标的，不得破坏其完整性。</w:t>
      </w:r>
    </w:p>
    <w:p w14:paraId="6B5EA046">
      <w:pPr>
        <w:ind w:firstLine="640" w:firstLineChars="200"/>
        <w:rPr>
          <w:rFonts w:ascii="仿宋_GB2312" w:eastAsia="仿宋_GB2312"/>
          <w:color w:val="000000"/>
          <w:sz w:val="32"/>
        </w:rPr>
      </w:pPr>
      <w:r>
        <w:rPr>
          <w:rFonts w:hint="eastAsia" w:ascii="仿宋_GB2312" w:eastAsia="仿宋_GB2312"/>
          <w:color w:val="000000"/>
          <w:sz w:val="32"/>
        </w:rPr>
        <w:t>5</w:t>
      </w:r>
      <w:r>
        <w:rPr>
          <w:rFonts w:ascii="仿宋_GB2312" w:eastAsia="仿宋_GB2312"/>
          <w:color w:val="000000"/>
          <w:sz w:val="32"/>
        </w:rPr>
        <w:t>.4</w:t>
      </w:r>
      <w:r>
        <w:rPr>
          <w:rFonts w:hint="eastAsia" w:ascii="仿宋_GB2312" w:eastAsia="仿宋_GB2312"/>
          <w:color w:val="000000"/>
          <w:sz w:val="32"/>
        </w:rPr>
        <w:t>如该项目在挂牌期间中止交易，甲方应将可能对该项目产生重大影响的事项及时通知乙方，并由乙方在济南产权交易网上公开披露。</w:t>
      </w:r>
    </w:p>
    <w:p w14:paraId="69F18B8D">
      <w:pPr>
        <w:ind w:firstLine="640" w:firstLineChars="200"/>
        <w:outlineLvl w:val="0"/>
        <w:rPr>
          <w:rFonts w:ascii="黑体" w:hAnsi="宋体" w:eastAsia="黑体"/>
          <w:color w:val="000000"/>
          <w:sz w:val="32"/>
        </w:rPr>
      </w:pPr>
      <w:r>
        <w:rPr>
          <w:rFonts w:hint="eastAsia" w:ascii="黑体" w:hAnsi="宋体" w:eastAsia="黑体"/>
          <w:color w:val="000000"/>
          <w:sz w:val="32"/>
        </w:rPr>
        <w:t>六、违约责任和争议解决</w:t>
      </w:r>
    </w:p>
    <w:p w14:paraId="0EEA0BE9">
      <w:pPr>
        <w:ind w:firstLine="640" w:firstLineChars="200"/>
        <w:outlineLvl w:val="0"/>
        <w:rPr>
          <w:rFonts w:ascii="仿宋_GB2312" w:hAnsi="宋体" w:eastAsia="仿宋_GB2312"/>
          <w:color w:val="000000"/>
          <w:sz w:val="32"/>
        </w:rPr>
      </w:pPr>
      <w:r>
        <w:rPr>
          <w:rFonts w:hint="eastAsia" w:ascii="仿宋_GB2312" w:hAnsi="宋体" w:eastAsia="仿宋_GB2312"/>
          <w:color w:val="000000"/>
          <w:sz w:val="32"/>
        </w:rPr>
        <w:t>甲乙双方本着友好协商的态度解决协议执行过程中出现的问题。协商不成可提起诉讼或申请仲裁，败诉方承担胜诉方所支出的诉讼费、保全费、担保函费、律师费等所有费用。</w:t>
      </w:r>
    </w:p>
    <w:p w14:paraId="16728808">
      <w:pPr>
        <w:ind w:firstLine="640" w:firstLineChars="200"/>
        <w:outlineLvl w:val="0"/>
        <w:rPr>
          <w:rFonts w:ascii="黑体" w:hAnsi="宋体" w:eastAsia="黑体"/>
          <w:color w:val="000000"/>
          <w:sz w:val="32"/>
        </w:rPr>
      </w:pPr>
      <w:r>
        <w:rPr>
          <w:rFonts w:hint="eastAsia" w:ascii="黑体" w:hAnsi="宋体" w:eastAsia="黑体"/>
          <w:color w:val="000000"/>
          <w:sz w:val="32"/>
        </w:rPr>
        <w:t>七、生效、变更</w:t>
      </w:r>
    </w:p>
    <w:p w14:paraId="22DE055C">
      <w:pPr>
        <w:ind w:firstLine="640" w:firstLineChars="200"/>
        <w:rPr>
          <w:rFonts w:ascii="仿宋_GB2312" w:hAnsi="宋体" w:eastAsia="仿宋_GB2312"/>
          <w:color w:val="000000"/>
          <w:sz w:val="32"/>
        </w:rPr>
      </w:pPr>
      <w:r>
        <w:rPr>
          <w:rFonts w:hint="eastAsia" w:ascii="仿宋_GB2312" w:hAnsi="宋体" w:eastAsia="仿宋_GB2312"/>
          <w:color w:val="000000"/>
          <w:sz w:val="32"/>
        </w:rPr>
        <w:t>7</w:t>
      </w:r>
      <w:r>
        <w:rPr>
          <w:rFonts w:ascii="仿宋_GB2312" w:hAnsi="宋体" w:eastAsia="仿宋_GB2312"/>
          <w:color w:val="000000"/>
          <w:sz w:val="32"/>
        </w:rPr>
        <w:t xml:space="preserve">.1 </w:t>
      </w:r>
      <w:r>
        <w:rPr>
          <w:rFonts w:hint="eastAsia" w:ascii="仿宋_GB2312" w:hAnsi="宋体" w:eastAsia="仿宋_GB2312"/>
          <w:color w:val="000000"/>
          <w:sz w:val="32"/>
        </w:rPr>
        <w:t>本协议经双方法人代表或授权代表人签字（盖章）后生效。</w:t>
      </w:r>
    </w:p>
    <w:p w14:paraId="48B14466">
      <w:pPr>
        <w:ind w:firstLine="640" w:firstLineChars="200"/>
        <w:rPr>
          <w:rFonts w:ascii="仿宋_GB2312" w:hAnsi="宋体" w:eastAsia="仿宋_GB2312"/>
          <w:color w:val="000000"/>
          <w:sz w:val="32"/>
        </w:rPr>
      </w:pPr>
      <w:r>
        <w:rPr>
          <w:rFonts w:hint="eastAsia" w:ascii="仿宋_GB2312" w:hAnsi="宋体" w:eastAsia="仿宋_GB2312"/>
          <w:color w:val="000000"/>
          <w:sz w:val="32"/>
        </w:rPr>
        <w:t>7</w:t>
      </w:r>
      <w:r>
        <w:rPr>
          <w:rFonts w:ascii="仿宋_GB2312" w:hAnsi="宋体" w:eastAsia="仿宋_GB2312"/>
          <w:color w:val="000000"/>
          <w:sz w:val="32"/>
        </w:rPr>
        <w:t>.</w:t>
      </w:r>
      <w:r>
        <w:rPr>
          <w:rFonts w:hint="eastAsia" w:ascii="仿宋_GB2312" w:hAnsi="宋体" w:eastAsia="仿宋_GB2312"/>
          <w:color w:val="000000"/>
          <w:sz w:val="32"/>
        </w:rPr>
        <w:t>2未尽事宜，甲乙双方同意依据国家和省、市有关产权交易的政策法规实施。</w:t>
      </w:r>
    </w:p>
    <w:p w14:paraId="493C1444">
      <w:pPr>
        <w:ind w:firstLine="640" w:firstLineChars="200"/>
        <w:rPr>
          <w:rFonts w:ascii="仿宋_GB2312" w:hAnsi="宋体" w:eastAsia="仿宋_GB2312"/>
          <w:color w:val="000000"/>
          <w:sz w:val="32"/>
        </w:rPr>
      </w:pPr>
      <w:r>
        <w:rPr>
          <w:rFonts w:hint="eastAsia" w:ascii="仿宋_GB2312" w:hAnsi="宋体" w:eastAsia="仿宋_GB2312"/>
          <w:color w:val="000000"/>
          <w:sz w:val="32"/>
        </w:rPr>
        <w:t>7</w:t>
      </w:r>
      <w:r>
        <w:rPr>
          <w:rFonts w:ascii="仿宋_GB2312" w:hAnsi="宋体" w:eastAsia="仿宋_GB2312"/>
          <w:color w:val="000000"/>
          <w:sz w:val="32"/>
        </w:rPr>
        <w:t>.</w:t>
      </w:r>
      <w:r>
        <w:rPr>
          <w:rFonts w:hint="eastAsia" w:ascii="仿宋_GB2312" w:hAnsi="宋体" w:eastAsia="仿宋_GB2312"/>
          <w:color w:val="000000"/>
          <w:sz w:val="32"/>
        </w:rPr>
        <w:t>3本协议正本壹式贰份，双方各执壹份。</w:t>
      </w:r>
      <w:r>
        <w:rPr>
          <w:rFonts w:ascii="仿宋_GB2312" w:hAnsi="宋体" w:eastAsia="仿宋_GB2312"/>
          <w:color w:val="000000"/>
          <w:sz w:val="32"/>
        </w:rPr>
        <w:t xml:space="preserve"> </w:t>
      </w:r>
    </w:p>
    <w:p w14:paraId="35A1C7AB">
      <w:pPr>
        <w:rPr>
          <w:rFonts w:ascii="仿宋_GB2312" w:hAnsi="宋体" w:eastAsia="仿宋_GB2312"/>
          <w:color w:val="000000"/>
          <w:sz w:val="32"/>
        </w:rPr>
      </w:pPr>
      <w:r>
        <w:rPr>
          <w:rFonts w:ascii="仿宋_GB2312" w:hAnsi="宋体" w:eastAsia="仿宋_GB2312"/>
          <w:color w:val="000000"/>
          <w:sz w:val="32"/>
        </w:rPr>
        <w:br w:type="page"/>
      </w:r>
    </w:p>
    <w:p w14:paraId="065A909B">
      <w:pPr>
        <w:ind w:firstLine="640" w:firstLineChars="200"/>
        <w:rPr>
          <w:rFonts w:ascii="仿宋_GB2312" w:hAnsi="宋体" w:eastAsia="仿宋_GB2312"/>
          <w:color w:val="000000"/>
          <w:sz w:val="32"/>
        </w:rPr>
      </w:pPr>
    </w:p>
    <w:p w14:paraId="26F7DC57">
      <w:pPr>
        <w:rPr>
          <w:rFonts w:ascii="仿宋_GB2312" w:hAnsi="宋体" w:eastAsia="仿宋_GB2312"/>
          <w:color w:val="000000"/>
          <w:sz w:val="32"/>
        </w:rPr>
      </w:pPr>
      <w:r>
        <w:rPr>
          <w:rFonts w:hint="eastAsia" w:ascii="仿宋_GB2312" w:hAnsi="宋体" w:eastAsia="仿宋_GB2312"/>
          <w:color w:val="000000"/>
          <w:sz w:val="32"/>
        </w:rPr>
        <w:t>甲方（盖章）：                    乙方（盖章）：</w:t>
      </w:r>
    </w:p>
    <w:p w14:paraId="07F5EC27">
      <w:pPr>
        <w:rPr>
          <w:rFonts w:ascii="仿宋_GB2312" w:hAnsi="宋体" w:eastAsia="仿宋_GB2312"/>
          <w:color w:val="000000"/>
          <w:sz w:val="32"/>
        </w:rPr>
      </w:pPr>
    </w:p>
    <w:p w14:paraId="4DB481E6">
      <w:pPr>
        <w:rPr>
          <w:rFonts w:ascii="仿宋_GB2312" w:hAnsi="宋体" w:eastAsia="仿宋_GB2312"/>
          <w:color w:val="000000"/>
          <w:sz w:val="32"/>
        </w:rPr>
      </w:pPr>
      <w:r>
        <w:rPr>
          <w:rFonts w:hint="eastAsia" w:ascii="仿宋_GB2312" w:hAnsi="宋体" w:eastAsia="仿宋_GB2312"/>
          <w:color w:val="000000"/>
          <w:sz w:val="32"/>
        </w:rPr>
        <w:t>法定代表人（授权代表人）：</w:t>
      </w:r>
      <w:r>
        <w:rPr>
          <w:rFonts w:ascii="仿宋_GB2312" w:hAnsi="宋体" w:eastAsia="仿宋_GB2312"/>
          <w:color w:val="000000"/>
          <w:sz w:val="32"/>
        </w:rPr>
        <w:t xml:space="preserve">     </w:t>
      </w:r>
      <w:r>
        <w:rPr>
          <w:rFonts w:hint="eastAsia" w:ascii="仿宋_GB2312" w:hAnsi="宋体" w:eastAsia="仿宋_GB2312"/>
          <w:color w:val="000000"/>
          <w:sz w:val="32"/>
        </w:rPr>
        <w:t xml:space="preserve">   法定代表人（授权代表人）：</w:t>
      </w:r>
    </w:p>
    <w:p w14:paraId="0AE13500">
      <w:pPr>
        <w:rPr>
          <w:rFonts w:ascii="仿宋_GB2312" w:hAnsi="宋体" w:eastAsia="仿宋_GB2312"/>
          <w:color w:val="000000"/>
          <w:sz w:val="32"/>
        </w:rPr>
      </w:pPr>
      <w:r>
        <w:rPr>
          <w:rFonts w:hint="eastAsia" w:ascii="仿宋_GB2312" w:hAnsi="宋体" w:eastAsia="仿宋_GB2312"/>
          <w:color w:val="000000"/>
          <w:sz w:val="32"/>
        </w:rPr>
        <w:t xml:space="preserve">                              </w:t>
      </w:r>
    </w:p>
    <w:p w14:paraId="7596B68C">
      <w:pPr>
        <w:ind w:firstLine="4800" w:firstLineChars="1500"/>
        <w:rPr>
          <w:rFonts w:ascii="仿宋_GB2312" w:hAnsi="宋体" w:eastAsia="仿宋_GB2312"/>
          <w:color w:val="000000"/>
          <w:sz w:val="32"/>
        </w:rPr>
      </w:pPr>
      <w:r>
        <w:rPr>
          <w:rFonts w:hint="eastAsia" w:ascii="仿宋_GB2312" w:hAnsi="宋体" w:eastAsia="仿宋_GB2312"/>
          <w:color w:val="000000"/>
          <w:sz w:val="32"/>
        </w:rPr>
        <w:t xml:space="preserve"> 年    月   日签署于济南</w:t>
      </w:r>
    </w:p>
    <w:p w14:paraId="65F10CB1"/>
    <w:sectPr>
      <w:headerReference r:id="rId3" w:type="default"/>
      <w:footerReference r:id="rId4" w:type="default"/>
      <w:footerReference r:id="rId5" w:type="even"/>
      <w:pgSz w:w="11906" w:h="16838"/>
      <w:pgMar w:top="1440" w:right="1588" w:bottom="1440" w:left="158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简标宋">
    <w:altName w:val="黑体"/>
    <w:panose1 w:val="00000000000000000000"/>
    <w:charset w:val="86"/>
    <w:family w:val="auto"/>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AEDD5D">
    <w:pPr>
      <w:pStyle w:val="4"/>
      <w:framePr w:wrap="around" w:vAnchor="text" w:hAnchor="margin" w:xAlign="right" w:y="1"/>
      <w:rPr>
        <w:rStyle w:val="10"/>
      </w:rPr>
    </w:pPr>
    <w:r>
      <w:rPr>
        <w:rStyle w:val="10"/>
      </w:rPr>
      <w:fldChar w:fldCharType="begin"/>
    </w:r>
    <w:r>
      <w:rPr>
        <w:rStyle w:val="10"/>
      </w:rPr>
      <w:instrText xml:space="preserve">PAGE  </w:instrText>
    </w:r>
    <w:r>
      <w:rPr>
        <w:rStyle w:val="10"/>
      </w:rPr>
      <w:fldChar w:fldCharType="separate"/>
    </w:r>
    <w:r>
      <w:rPr>
        <w:rStyle w:val="10"/>
      </w:rPr>
      <w:t>5</w:t>
    </w:r>
    <w:r>
      <w:rPr>
        <w:rStyle w:val="10"/>
      </w:rPr>
      <w:fldChar w:fldCharType="end"/>
    </w:r>
  </w:p>
  <w:p w14:paraId="1C588157">
    <w:pPr>
      <w:pStyle w:val="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8C5F30">
    <w:pPr>
      <w:pStyle w:val="4"/>
      <w:framePr w:wrap="around" w:vAnchor="text" w:hAnchor="margin" w:xAlign="right" w:y="1"/>
      <w:rPr>
        <w:rStyle w:val="10"/>
      </w:rPr>
    </w:pPr>
    <w:r>
      <w:rPr>
        <w:rStyle w:val="10"/>
      </w:rPr>
      <w:fldChar w:fldCharType="begin"/>
    </w:r>
    <w:r>
      <w:rPr>
        <w:rStyle w:val="10"/>
      </w:rPr>
      <w:instrText xml:space="preserve">PAGE  </w:instrText>
    </w:r>
    <w:r>
      <w:rPr>
        <w:rStyle w:val="10"/>
      </w:rPr>
      <w:fldChar w:fldCharType="end"/>
    </w:r>
  </w:p>
  <w:p w14:paraId="69421553">
    <w:pPr>
      <w:pStyle w:val="4"/>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E6E008">
    <w:pPr>
      <w:pStyle w:val="5"/>
      <w:pBdr>
        <w:bottom w:val="none" w:color="auto" w:sz="0" w:space="0"/>
      </w:pBdr>
      <w:jc w:val="both"/>
      <w:rPr>
        <w:rFonts w:ascii="黑体" w:hAnsi="黑体" w:eastAsia="黑体"/>
        <w:sz w:val="21"/>
        <w:szCs w:val="21"/>
      </w:rPr>
    </w:pPr>
    <w:r>
      <w:rPr>
        <w:rFonts w:hint="eastAsia" w:ascii="黑体" w:hAnsi="黑体" w:eastAsia="黑体"/>
        <w:sz w:val="21"/>
        <w:szCs w:val="21"/>
      </w:rPr>
      <w:t xml:space="preserve">济南产权交易服务有限公司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VjODhmZTVjZjZiYjQzMjVmNGU0MjVmNmQwNDI2ODkifQ=="/>
  </w:docVars>
  <w:rsids>
    <w:rsidRoot w:val="00401A77"/>
    <w:rsid w:val="000064B7"/>
    <w:rsid w:val="0001429E"/>
    <w:rsid w:val="00021A0D"/>
    <w:rsid w:val="0003160E"/>
    <w:rsid w:val="00032E97"/>
    <w:rsid w:val="00033E0E"/>
    <w:rsid w:val="00034A09"/>
    <w:rsid w:val="00035D52"/>
    <w:rsid w:val="00040794"/>
    <w:rsid w:val="00050061"/>
    <w:rsid w:val="00062412"/>
    <w:rsid w:val="000632B5"/>
    <w:rsid w:val="0006344C"/>
    <w:rsid w:val="000702B3"/>
    <w:rsid w:val="00091583"/>
    <w:rsid w:val="000957B1"/>
    <w:rsid w:val="00096F24"/>
    <w:rsid w:val="000A1B45"/>
    <w:rsid w:val="000A7E92"/>
    <w:rsid w:val="000C5AAA"/>
    <w:rsid w:val="00100958"/>
    <w:rsid w:val="00112635"/>
    <w:rsid w:val="00114EBF"/>
    <w:rsid w:val="00115C0E"/>
    <w:rsid w:val="00116978"/>
    <w:rsid w:val="00136F10"/>
    <w:rsid w:val="00142B1D"/>
    <w:rsid w:val="00143332"/>
    <w:rsid w:val="0014524E"/>
    <w:rsid w:val="00150011"/>
    <w:rsid w:val="001500C0"/>
    <w:rsid w:val="001500E1"/>
    <w:rsid w:val="001515A8"/>
    <w:rsid w:val="00162774"/>
    <w:rsid w:val="00170AC1"/>
    <w:rsid w:val="001A3278"/>
    <w:rsid w:val="001A602C"/>
    <w:rsid w:val="001C4B38"/>
    <w:rsid w:val="001C5599"/>
    <w:rsid w:val="001C6B99"/>
    <w:rsid w:val="001C7237"/>
    <w:rsid w:val="001F2387"/>
    <w:rsid w:val="001F3AF0"/>
    <w:rsid w:val="001F47B0"/>
    <w:rsid w:val="001F4B3D"/>
    <w:rsid w:val="001F58CA"/>
    <w:rsid w:val="00205B46"/>
    <w:rsid w:val="00206660"/>
    <w:rsid w:val="00210414"/>
    <w:rsid w:val="00230147"/>
    <w:rsid w:val="002314F7"/>
    <w:rsid w:val="0023513E"/>
    <w:rsid w:val="0023740D"/>
    <w:rsid w:val="002444AE"/>
    <w:rsid w:val="00247B7F"/>
    <w:rsid w:val="002525B5"/>
    <w:rsid w:val="00265A46"/>
    <w:rsid w:val="00270FF2"/>
    <w:rsid w:val="00272258"/>
    <w:rsid w:val="002740ED"/>
    <w:rsid w:val="00280A9F"/>
    <w:rsid w:val="0028760E"/>
    <w:rsid w:val="00290140"/>
    <w:rsid w:val="00293D1D"/>
    <w:rsid w:val="00295B41"/>
    <w:rsid w:val="002B0AD7"/>
    <w:rsid w:val="002B3695"/>
    <w:rsid w:val="002C3076"/>
    <w:rsid w:val="002C4BD8"/>
    <w:rsid w:val="002C7716"/>
    <w:rsid w:val="002D0F3A"/>
    <w:rsid w:val="002D128B"/>
    <w:rsid w:val="002E622D"/>
    <w:rsid w:val="002F616E"/>
    <w:rsid w:val="00306040"/>
    <w:rsid w:val="003157ED"/>
    <w:rsid w:val="00322449"/>
    <w:rsid w:val="00322704"/>
    <w:rsid w:val="003268C7"/>
    <w:rsid w:val="00336170"/>
    <w:rsid w:val="00336BC8"/>
    <w:rsid w:val="00345B5C"/>
    <w:rsid w:val="003474AA"/>
    <w:rsid w:val="003549A5"/>
    <w:rsid w:val="00355EC4"/>
    <w:rsid w:val="00357E13"/>
    <w:rsid w:val="00363D0D"/>
    <w:rsid w:val="00365C37"/>
    <w:rsid w:val="00373D77"/>
    <w:rsid w:val="003909D3"/>
    <w:rsid w:val="00394C19"/>
    <w:rsid w:val="00397DB7"/>
    <w:rsid w:val="003B0777"/>
    <w:rsid w:val="003B0CD5"/>
    <w:rsid w:val="003B16AF"/>
    <w:rsid w:val="003C1053"/>
    <w:rsid w:val="003C4237"/>
    <w:rsid w:val="003C7251"/>
    <w:rsid w:val="003E7037"/>
    <w:rsid w:val="003F3F90"/>
    <w:rsid w:val="003F72DE"/>
    <w:rsid w:val="00401046"/>
    <w:rsid w:val="00401A77"/>
    <w:rsid w:val="00403B10"/>
    <w:rsid w:val="00403D14"/>
    <w:rsid w:val="00411B72"/>
    <w:rsid w:val="00413A37"/>
    <w:rsid w:val="0041748C"/>
    <w:rsid w:val="0042064B"/>
    <w:rsid w:val="00420657"/>
    <w:rsid w:val="004209FD"/>
    <w:rsid w:val="004217F3"/>
    <w:rsid w:val="00430D04"/>
    <w:rsid w:val="00432D91"/>
    <w:rsid w:val="004339F3"/>
    <w:rsid w:val="0043617D"/>
    <w:rsid w:val="004404D8"/>
    <w:rsid w:val="004410DB"/>
    <w:rsid w:val="00442DDE"/>
    <w:rsid w:val="0045709D"/>
    <w:rsid w:val="00466794"/>
    <w:rsid w:val="00477833"/>
    <w:rsid w:val="004854BA"/>
    <w:rsid w:val="004A13F7"/>
    <w:rsid w:val="004A6576"/>
    <w:rsid w:val="004C068F"/>
    <w:rsid w:val="004D0DF4"/>
    <w:rsid w:val="004D2AC6"/>
    <w:rsid w:val="004D4ED9"/>
    <w:rsid w:val="004E1FD1"/>
    <w:rsid w:val="004F1AA7"/>
    <w:rsid w:val="004F3F66"/>
    <w:rsid w:val="00511396"/>
    <w:rsid w:val="005169F4"/>
    <w:rsid w:val="0053059A"/>
    <w:rsid w:val="00532F6E"/>
    <w:rsid w:val="005548C5"/>
    <w:rsid w:val="005617DC"/>
    <w:rsid w:val="005664D0"/>
    <w:rsid w:val="00566689"/>
    <w:rsid w:val="005862A2"/>
    <w:rsid w:val="0058689F"/>
    <w:rsid w:val="005A0903"/>
    <w:rsid w:val="005A201C"/>
    <w:rsid w:val="005A3BC9"/>
    <w:rsid w:val="005A744E"/>
    <w:rsid w:val="005C3B96"/>
    <w:rsid w:val="005D2B82"/>
    <w:rsid w:val="005D7FAE"/>
    <w:rsid w:val="005E6421"/>
    <w:rsid w:val="005F17F8"/>
    <w:rsid w:val="006077E5"/>
    <w:rsid w:val="00610112"/>
    <w:rsid w:val="00616F1E"/>
    <w:rsid w:val="00627E16"/>
    <w:rsid w:val="00634CF3"/>
    <w:rsid w:val="00645F60"/>
    <w:rsid w:val="00655E64"/>
    <w:rsid w:val="00660B98"/>
    <w:rsid w:val="00660D1A"/>
    <w:rsid w:val="00664080"/>
    <w:rsid w:val="0068046E"/>
    <w:rsid w:val="006810F7"/>
    <w:rsid w:val="00682609"/>
    <w:rsid w:val="006A1403"/>
    <w:rsid w:val="006A2090"/>
    <w:rsid w:val="006B4F25"/>
    <w:rsid w:val="006C07EE"/>
    <w:rsid w:val="006D243C"/>
    <w:rsid w:val="006D386C"/>
    <w:rsid w:val="006D3FA6"/>
    <w:rsid w:val="006D62C5"/>
    <w:rsid w:val="006E6200"/>
    <w:rsid w:val="006F5901"/>
    <w:rsid w:val="007030D1"/>
    <w:rsid w:val="0070507D"/>
    <w:rsid w:val="00706DFC"/>
    <w:rsid w:val="00707C86"/>
    <w:rsid w:val="0071087B"/>
    <w:rsid w:val="00714474"/>
    <w:rsid w:val="007260B7"/>
    <w:rsid w:val="0074798B"/>
    <w:rsid w:val="007526EF"/>
    <w:rsid w:val="00753F38"/>
    <w:rsid w:val="00757678"/>
    <w:rsid w:val="00764288"/>
    <w:rsid w:val="0077356B"/>
    <w:rsid w:val="007839C1"/>
    <w:rsid w:val="00784B17"/>
    <w:rsid w:val="00786F5E"/>
    <w:rsid w:val="00791171"/>
    <w:rsid w:val="00793C43"/>
    <w:rsid w:val="007944FE"/>
    <w:rsid w:val="007B5A93"/>
    <w:rsid w:val="007B6BD1"/>
    <w:rsid w:val="007C0A3D"/>
    <w:rsid w:val="007C5D39"/>
    <w:rsid w:val="007C7A05"/>
    <w:rsid w:val="007F1CEB"/>
    <w:rsid w:val="007F6AE2"/>
    <w:rsid w:val="00806D10"/>
    <w:rsid w:val="00807A9F"/>
    <w:rsid w:val="00810AAF"/>
    <w:rsid w:val="0081365B"/>
    <w:rsid w:val="00816F3B"/>
    <w:rsid w:val="008205EF"/>
    <w:rsid w:val="00820C35"/>
    <w:rsid w:val="008243A7"/>
    <w:rsid w:val="00824B54"/>
    <w:rsid w:val="0083135E"/>
    <w:rsid w:val="00832301"/>
    <w:rsid w:val="00840AC5"/>
    <w:rsid w:val="00843314"/>
    <w:rsid w:val="0085068F"/>
    <w:rsid w:val="00864E71"/>
    <w:rsid w:val="00866797"/>
    <w:rsid w:val="00891876"/>
    <w:rsid w:val="008927D7"/>
    <w:rsid w:val="00896C4B"/>
    <w:rsid w:val="00896D18"/>
    <w:rsid w:val="008A1C28"/>
    <w:rsid w:val="008A5722"/>
    <w:rsid w:val="008A62EC"/>
    <w:rsid w:val="008B53CB"/>
    <w:rsid w:val="008B6F94"/>
    <w:rsid w:val="008B7B61"/>
    <w:rsid w:val="008D0431"/>
    <w:rsid w:val="008D11E3"/>
    <w:rsid w:val="008D567A"/>
    <w:rsid w:val="008D7966"/>
    <w:rsid w:val="008E06B5"/>
    <w:rsid w:val="008E64CD"/>
    <w:rsid w:val="008F0F85"/>
    <w:rsid w:val="008F5B25"/>
    <w:rsid w:val="008F702F"/>
    <w:rsid w:val="009005A6"/>
    <w:rsid w:val="00902B3E"/>
    <w:rsid w:val="00903E91"/>
    <w:rsid w:val="00907122"/>
    <w:rsid w:val="00915C1D"/>
    <w:rsid w:val="009175C7"/>
    <w:rsid w:val="009218BF"/>
    <w:rsid w:val="0092232D"/>
    <w:rsid w:val="009274F7"/>
    <w:rsid w:val="00927C91"/>
    <w:rsid w:val="00932AEC"/>
    <w:rsid w:val="00934D5D"/>
    <w:rsid w:val="00945DA1"/>
    <w:rsid w:val="00954B41"/>
    <w:rsid w:val="00956D06"/>
    <w:rsid w:val="009606F0"/>
    <w:rsid w:val="009750A2"/>
    <w:rsid w:val="00980D0A"/>
    <w:rsid w:val="00990796"/>
    <w:rsid w:val="00990FD4"/>
    <w:rsid w:val="00991A45"/>
    <w:rsid w:val="009A6EF0"/>
    <w:rsid w:val="009C4EA6"/>
    <w:rsid w:val="009C705B"/>
    <w:rsid w:val="009D37FB"/>
    <w:rsid w:val="009D449F"/>
    <w:rsid w:val="009E5B07"/>
    <w:rsid w:val="009F130F"/>
    <w:rsid w:val="00A01489"/>
    <w:rsid w:val="00A01693"/>
    <w:rsid w:val="00A027F9"/>
    <w:rsid w:val="00A0510F"/>
    <w:rsid w:val="00A06AE0"/>
    <w:rsid w:val="00A11412"/>
    <w:rsid w:val="00A23524"/>
    <w:rsid w:val="00A25916"/>
    <w:rsid w:val="00A2721C"/>
    <w:rsid w:val="00A311E4"/>
    <w:rsid w:val="00A43577"/>
    <w:rsid w:val="00A5735B"/>
    <w:rsid w:val="00A6183B"/>
    <w:rsid w:val="00A62A6D"/>
    <w:rsid w:val="00A62BB1"/>
    <w:rsid w:val="00A70D99"/>
    <w:rsid w:val="00A7107D"/>
    <w:rsid w:val="00A712D7"/>
    <w:rsid w:val="00A748FA"/>
    <w:rsid w:val="00A84C61"/>
    <w:rsid w:val="00A92865"/>
    <w:rsid w:val="00A95F60"/>
    <w:rsid w:val="00AB4282"/>
    <w:rsid w:val="00AC3380"/>
    <w:rsid w:val="00AC38F4"/>
    <w:rsid w:val="00AD07F1"/>
    <w:rsid w:val="00AD52C2"/>
    <w:rsid w:val="00AE59BB"/>
    <w:rsid w:val="00AE5AC0"/>
    <w:rsid w:val="00AF1494"/>
    <w:rsid w:val="00AF3719"/>
    <w:rsid w:val="00AF5890"/>
    <w:rsid w:val="00AF79A9"/>
    <w:rsid w:val="00B0031B"/>
    <w:rsid w:val="00B04B17"/>
    <w:rsid w:val="00B26FAF"/>
    <w:rsid w:val="00B30883"/>
    <w:rsid w:val="00B43F50"/>
    <w:rsid w:val="00B518B1"/>
    <w:rsid w:val="00B554DE"/>
    <w:rsid w:val="00B62F37"/>
    <w:rsid w:val="00B6513F"/>
    <w:rsid w:val="00B7153F"/>
    <w:rsid w:val="00B76C35"/>
    <w:rsid w:val="00B77B99"/>
    <w:rsid w:val="00B80264"/>
    <w:rsid w:val="00B804D4"/>
    <w:rsid w:val="00B8218B"/>
    <w:rsid w:val="00BA3E04"/>
    <w:rsid w:val="00BB0F31"/>
    <w:rsid w:val="00BB1A1D"/>
    <w:rsid w:val="00BB443A"/>
    <w:rsid w:val="00BB480C"/>
    <w:rsid w:val="00BC30EB"/>
    <w:rsid w:val="00BC7693"/>
    <w:rsid w:val="00BE39AD"/>
    <w:rsid w:val="00BE6217"/>
    <w:rsid w:val="00BF0163"/>
    <w:rsid w:val="00C034E7"/>
    <w:rsid w:val="00C10C6F"/>
    <w:rsid w:val="00C15E3F"/>
    <w:rsid w:val="00C17059"/>
    <w:rsid w:val="00C230FA"/>
    <w:rsid w:val="00C246E2"/>
    <w:rsid w:val="00C278C5"/>
    <w:rsid w:val="00C307C4"/>
    <w:rsid w:val="00C32D1F"/>
    <w:rsid w:val="00C401B3"/>
    <w:rsid w:val="00C40839"/>
    <w:rsid w:val="00C43412"/>
    <w:rsid w:val="00C455DB"/>
    <w:rsid w:val="00C75949"/>
    <w:rsid w:val="00C8662B"/>
    <w:rsid w:val="00C93ADA"/>
    <w:rsid w:val="00C945E8"/>
    <w:rsid w:val="00CA43CB"/>
    <w:rsid w:val="00CA451E"/>
    <w:rsid w:val="00CA4D1F"/>
    <w:rsid w:val="00CA64EC"/>
    <w:rsid w:val="00CB17DA"/>
    <w:rsid w:val="00CB1C12"/>
    <w:rsid w:val="00CC2EF1"/>
    <w:rsid w:val="00CC307C"/>
    <w:rsid w:val="00CC37BD"/>
    <w:rsid w:val="00CC5EC2"/>
    <w:rsid w:val="00CC7E4B"/>
    <w:rsid w:val="00CD2342"/>
    <w:rsid w:val="00CE2D1B"/>
    <w:rsid w:val="00CF0BBB"/>
    <w:rsid w:val="00CF2256"/>
    <w:rsid w:val="00CF3267"/>
    <w:rsid w:val="00D00168"/>
    <w:rsid w:val="00D001B9"/>
    <w:rsid w:val="00D13626"/>
    <w:rsid w:val="00D17C72"/>
    <w:rsid w:val="00D20591"/>
    <w:rsid w:val="00D23278"/>
    <w:rsid w:val="00D30B5C"/>
    <w:rsid w:val="00D32DB4"/>
    <w:rsid w:val="00D33F1A"/>
    <w:rsid w:val="00D36F6D"/>
    <w:rsid w:val="00D5228B"/>
    <w:rsid w:val="00D53FBE"/>
    <w:rsid w:val="00D5548A"/>
    <w:rsid w:val="00D71DFF"/>
    <w:rsid w:val="00D77721"/>
    <w:rsid w:val="00D83866"/>
    <w:rsid w:val="00DA24EB"/>
    <w:rsid w:val="00DA384E"/>
    <w:rsid w:val="00DA793C"/>
    <w:rsid w:val="00DA7DCF"/>
    <w:rsid w:val="00DB28C0"/>
    <w:rsid w:val="00DB4AFD"/>
    <w:rsid w:val="00DC5ACE"/>
    <w:rsid w:val="00DD19C0"/>
    <w:rsid w:val="00DD7781"/>
    <w:rsid w:val="00DF0122"/>
    <w:rsid w:val="00DF1AA3"/>
    <w:rsid w:val="00DF496A"/>
    <w:rsid w:val="00E00A71"/>
    <w:rsid w:val="00E030EA"/>
    <w:rsid w:val="00E034E9"/>
    <w:rsid w:val="00E037EA"/>
    <w:rsid w:val="00E101AA"/>
    <w:rsid w:val="00E1705B"/>
    <w:rsid w:val="00E24E5E"/>
    <w:rsid w:val="00E41340"/>
    <w:rsid w:val="00E56E2D"/>
    <w:rsid w:val="00E57173"/>
    <w:rsid w:val="00E65CC0"/>
    <w:rsid w:val="00E70C85"/>
    <w:rsid w:val="00E741AF"/>
    <w:rsid w:val="00E751EE"/>
    <w:rsid w:val="00E7546E"/>
    <w:rsid w:val="00E76EDA"/>
    <w:rsid w:val="00E87CE7"/>
    <w:rsid w:val="00E918A0"/>
    <w:rsid w:val="00EB2714"/>
    <w:rsid w:val="00EC2DCB"/>
    <w:rsid w:val="00ED587C"/>
    <w:rsid w:val="00ED76B6"/>
    <w:rsid w:val="00EE36BD"/>
    <w:rsid w:val="00EF5D74"/>
    <w:rsid w:val="00F0059A"/>
    <w:rsid w:val="00F07ACC"/>
    <w:rsid w:val="00F101F7"/>
    <w:rsid w:val="00F11C58"/>
    <w:rsid w:val="00F11FCC"/>
    <w:rsid w:val="00F133C3"/>
    <w:rsid w:val="00F14BE6"/>
    <w:rsid w:val="00F40D41"/>
    <w:rsid w:val="00F43675"/>
    <w:rsid w:val="00F469EE"/>
    <w:rsid w:val="00F46AAE"/>
    <w:rsid w:val="00F51646"/>
    <w:rsid w:val="00F546ED"/>
    <w:rsid w:val="00F56A1E"/>
    <w:rsid w:val="00F75AE9"/>
    <w:rsid w:val="00F86E5D"/>
    <w:rsid w:val="00FA3143"/>
    <w:rsid w:val="00FA6638"/>
    <w:rsid w:val="00FA68F7"/>
    <w:rsid w:val="00FC509E"/>
    <w:rsid w:val="00FC665A"/>
    <w:rsid w:val="00FD09D1"/>
    <w:rsid w:val="00FF4230"/>
    <w:rsid w:val="04D72BD5"/>
    <w:rsid w:val="09BD38E8"/>
    <w:rsid w:val="122C6F32"/>
    <w:rsid w:val="195A6A06"/>
    <w:rsid w:val="22411F12"/>
    <w:rsid w:val="22434B77"/>
    <w:rsid w:val="2B75457A"/>
    <w:rsid w:val="2DC01199"/>
    <w:rsid w:val="3CCB4A9B"/>
    <w:rsid w:val="401A4DB7"/>
    <w:rsid w:val="4FE20B15"/>
    <w:rsid w:val="56B51978"/>
    <w:rsid w:val="57AA47E4"/>
    <w:rsid w:val="58690F3F"/>
    <w:rsid w:val="5980259E"/>
    <w:rsid w:val="5E845EDF"/>
    <w:rsid w:val="5F602E74"/>
    <w:rsid w:val="604307FB"/>
    <w:rsid w:val="664F6865"/>
    <w:rsid w:val="74A37DEC"/>
    <w:rsid w:val="7A963B8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ocked="1"/>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ocked="1"/>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ocked="1"/>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ocked="1"/>
    <w:lsdException w:qFormat="1" w:unhideWhenUsed="0" w:uiPriority="0" w:semiHidden="0" w:name="Emphasis" w:locked="1"/>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ocked="1"/>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4"/>
    <w:qFormat/>
    <w:uiPriority w:val="0"/>
    <w:pPr>
      <w:jc w:val="left"/>
    </w:pPr>
  </w:style>
  <w:style w:type="paragraph" w:styleId="3">
    <w:name w:val="Balloon Text"/>
    <w:basedOn w:val="1"/>
    <w:link w:val="16"/>
    <w:qFormat/>
    <w:uiPriority w:val="0"/>
    <w:rPr>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0"/>
    <w:pPr>
      <w:widowControl/>
      <w:spacing w:before="100" w:beforeAutospacing="1" w:after="100" w:afterAutospacing="1"/>
      <w:jc w:val="left"/>
    </w:pPr>
    <w:rPr>
      <w:rFonts w:ascii="宋体" w:hAnsi="宋体" w:cs="宋体"/>
      <w:kern w:val="0"/>
      <w:sz w:val="24"/>
    </w:rPr>
  </w:style>
  <w:style w:type="paragraph" w:styleId="7">
    <w:name w:val="annotation subject"/>
    <w:basedOn w:val="2"/>
    <w:next w:val="2"/>
    <w:link w:val="15"/>
    <w:qFormat/>
    <w:uiPriority w:val="0"/>
    <w:rPr>
      <w:b/>
      <w:bCs/>
    </w:rPr>
  </w:style>
  <w:style w:type="character" w:styleId="10">
    <w:name w:val="page number"/>
    <w:basedOn w:val="9"/>
    <w:qFormat/>
    <w:uiPriority w:val="0"/>
  </w:style>
  <w:style w:type="character" w:styleId="11">
    <w:name w:val="Hyperlink"/>
    <w:basedOn w:val="9"/>
    <w:qFormat/>
    <w:uiPriority w:val="0"/>
    <w:rPr>
      <w:color w:val="0000FF"/>
      <w:u w:val="single"/>
    </w:rPr>
  </w:style>
  <w:style w:type="character" w:styleId="12">
    <w:name w:val="annotation reference"/>
    <w:basedOn w:val="9"/>
    <w:qFormat/>
    <w:uiPriority w:val="0"/>
    <w:rPr>
      <w:sz w:val="21"/>
      <w:szCs w:val="21"/>
    </w:rPr>
  </w:style>
  <w:style w:type="character" w:customStyle="1" w:styleId="13">
    <w:name w:val="页眉 字符"/>
    <w:basedOn w:val="9"/>
    <w:link w:val="5"/>
    <w:qFormat/>
    <w:uiPriority w:val="0"/>
    <w:rPr>
      <w:rFonts w:ascii="Times New Roman" w:hAnsi="Times New Roman"/>
      <w:kern w:val="2"/>
      <w:sz w:val="18"/>
      <w:szCs w:val="18"/>
    </w:rPr>
  </w:style>
  <w:style w:type="character" w:customStyle="1" w:styleId="14">
    <w:name w:val="批注文字 字符"/>
    <w:basedOn w:val="9"/>
    <w:link w:val="2"/>
    <w:qFormat/>
    <w:uiPriority w:val="0"/>
    <w:rPr>
      <w:rFonts w:ascii="Times New Roman" w:hAnsi="Times New Roman"/>
      <w:kern w:val="2"/>
      <w:sz w:val="21"/>
      <w:szCs w:val="24"/>
    </w:rPr>
  </w:style>
  <w:style w:type="character" w:customStyle="1" w:styleId="15">
    <w:name w:val="批注主题 字符"/>
    <w:basedOn w:val="14"/>
    <w:link w:val="7"/>
    <w:uiPriority w:val="0"/>
    <w:rPr>
      <w:rFonts w:ascii="Times New Roman" w:hAnsi="Times New Roman"/>
      <w:b/>
      <w:bCs/>
      <w:kern w:val="2"/>
      <w:sz w:val="21"/>
      <w:szCs w:val="24"/>
    </w:rPr>
  </w:style>
  <w:style w:type="character" w:customStyle="1" w:styleId="16">
    <w:name w:val="批注框文本 字符"/>
    <w:basedOn w:val="9"/>
    <w:link w:val="3"/>
    <w:qFormat/>
    <w:uiPriority w:val="0"/>
    <w:rPr>
      <w:rFonts w:ascii="Times New Roman" w:hAnsi="Times New Roman"/>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82F430-E868-4BE2-BAC9-3C8F7133993C}">
  <ds:schemaRefs/>
</ds:datastoreItem>
</file>

<file path=docProps/app.xml><?xml version="1.0" encoding="utf-8"?>
<Properties xmlns="http://schemas.openxmlformats.org/officeDocument/2006/extended-properties" xmlns:vt="http://schemas.openxmlformats.org/officeDocument/2006/docPropsVTypes">
  <Template>Normal.dotm</Template>
  <Company>WwW.YlmF.CoM</Company>
  <Pages>5</Pages>
  <Words>1731</Words>
  <Characters>1797</Characters>
  <Lines>14</Lines>
  <Paragraphs>4</Paragraphs>
  <TotalTime>0</TotalTime>
  <ScaleCrop>false</ScaleCrop>
  <LinksUpToDate>false</LinksUpToDate>
  <CharactersWithSpaces>1915</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2018-07-10T13:34:00Z</dcterms:created>
  <dc:creator>雨林木风</dc:creator>
  <cp:lastModifiedBy>＂＂乐</cp:lastModifiedBy>
  <cp:lastPrinted>2022-04-15T06:28:00Z</cp:lastPrinted>
  <dcterms:modified xsi:type="dcterms:W3CDTF">2025-12-05T01:02:17Z</dcterms:modified>
  <dc:title>法人财产权进场交易协议书</dc:title>
  <cp:revision>85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1DF2127E22A1499CAE39B48E44A90916</vt:lpwstr>
  </property>
  <property fmtid="{D5CDD505-2E9C-101B-9397-08002B2CF9AE}" pid="4" name="KSOTemplateDocerSaveRecord">
    <vt:lpwstr>eyJoZGlkIjoiNzVjODhmZTVjZjZiYjQzMjVmNGU0MjVmNmQwNDI2ODkiLCJ1c2VySWQiOiI0MDg1NjI5NDMifQ==</vt:lpwstr>
  </property>
</Properties>
</file>